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C8F" w:rsidRPr="009407F4" w:rsidRDefault="00CF2093" w:rsidP="002E7C8F">
      <w:pPr>
        <w:tabs>
          <w:tab w:val="left" w:pos="533"/>
          <w:tab w:val="left" w:pos="5846"/>
          <w:tab w:val="center" w:pos="6437"/>
          <w:tab w:val="decimal" w:pos="7042"/>
          <w:tab w:val="left" w:pos="7229"/>
          <w:tab w:val="center" w:pos="7819"/>
          <w:tab w:val="decimal" w:pos="8410"/>
          <w:tab w:val="left" w:pos="8611"/>
          <w:tab w:val="center" w:pos="9202"/>
          <w:tab w:val="decimal" w:pos="9792"/>
        </w:tabs>
        <w:jc w:val="center"/>
        <w:rPr>
          <w:rFonts w:ascii="Arial" w:hAnsi="Arial" w:cs="Arial"/>
          <w:b/>
          <w:szCs w:val="24"/>
        </w:rPr>
      </w:pPr>
      <w:r w:rsidRPr="009407F4">
        <w:rPr>
          <w:rFonts w:ascii="Arial" w:hAnsi="Arial" w:cs="Arial"/>
          <w:b/>
          <w:szCs w:val="24"/>
        </w:rPr>
        <w:t xml:space="preserve">Research and Development Tax Credits – </w:t>
      </w:r>
    </w:p>
    <w:p w:rsidR="00CF2093" w:rsidRPr="009407F4" w:rsidRDefault="00CF2093" w:rsidP="002E7C8F">
      <w:pPr>
        <w:tabs>
          <w:tab w:val="left" w:pos="533"/>
          <w:tab w:val="left" w:pos="5846"/>
          <w:tab w:val="center" w:pos="6437"/>
          <w:tab w:val="decimal" w:pos="7042"/>
          <w:tab w:val="left" w:pos="7229"/>
          <w:tab w:val="center" w:pos="7819"/>
          <w:tab w:val="decimal" w:pos="8410"/>
          <w:tab w:val="left" w:pos="8611"/>
          <w:tab w:val="center" w:pos="9202"/>
          <w:tab w:val="decimal" w:pos="9792"/>
        </w:tabs>
        <w:jc w:val="center"/>
        <w:rPr>
          <w:rFonts w:ascii="Arial" w:hAnsi="Arial" w:cs="Arial"/>
          <w:b/>
          <w:szCs w:val="24"/>
        </w:rPr>
      </w:pPr>
      <w:r w:rsidRPr="009407F4">
        <w:rPr>
          <w:rFonts w:ascii="Arial" w:hAnsi="Arial" w:cs="Arial"/>
          <w:b/>
          <w:szCs w:val="24"/>
        </w:rPr>
        <w:t>An Untapped Opportunity in the Graphic Arts Industry</w:t>
      </w:r>
    </w:p>
    <w:p w:rsidR="00CF2093" w:rsidRDefault="00CF2093" w:rsidP="002E7C8F">
      <w:pPr>
        <w:tabs>
          <w:tab w:val="left" w:pos="533"/>
          <w:tab w:val="left" w:pos="5846"/>
          <w:tab w:val="center" w:pos="6437"/>
          <w:tab w:val="decimal" w:pos="7042"/>
          <w:tab w:val="left" w:pos="7229"/>
          <w:tab w:val="center" w:pos="7819"/>
          <w:tab w:val="decimal" w:pos="8410"/>
          <w:tab w:val="left" w:pos="8611"/>
          <w:tab w:val="center" w:pos="9202"/>
          <w:tab w:val="decimal" w:pos="9792"/>
        </w:tabs>
        <w:jc w:val="center"/>
        <w:rPr>
          <w:rFonts w:ascii="Arial" w:hAnsi="Arial" w:cs="Arial"/>
          <w:szCs w:val="24"/>
        </w:rPr>
      </w:pPr>
    </w:p>
    <w:p w:rsidR="007E708B" w:rsidRDefault="007E708B" w:rsidP="007E708B">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r>
        <w:rPr>
          <w:rFonts w:ascii="Arial" w:hAnsi="Arial" w:cs="Arial"/>
          <w:szCs w:val="24"/>
        </w:rPr>
        <w:t>The research and development (R&amp;D) tax credit is a permanent fixture in the tax code.  Some estimates put the amount of credit claimed at over $13 billion annually.  This credit was established by congress to encourage business innovation, process improvement and technological advancement to help keep the United States competitive in the world market place.  National data shows that manufacturers, including the graphic arts industry, are the top segment claiming these tax credits.  This is by far the largest federal tax credit available and most states now hav</w:t>
      </w:r>
      <w:r w:rsidR="00CD58AB">
        <w:rPr>
          <w:rFonts w:ascii="Arial" w:hAnsi="Arial" w:cs="Arial"/>
          <w:szCs w:val="24"/>
        </w:rPr>
        <w:t xml:space="preserve">e similar tax credits </w:t>
      </w:r>
      <w:r>
        <w:rPr>
          <w:rFonts w:ascii="Arial" w:hAnsi="Arial" w:cs="Arial"/>
          <w:szCs w:val="24"/>
        </w:rPr>
        <w:t xml:space="preserve">as well.  </w:t>
      </w:r>
    </w:p>
    <w:p w:rsidR="007E708B" w:rsidRDefault="007E708B"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p>
    <w:p w:rsidR="000A1265" w:rsidRDefault="000A1265"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r>
        <w:rPr>
          <w:rFonts w:ascii="Arial" w:hAnsi="Arial" w:cs="Arial"/>
          <w:szCs w:val="24"/>
        </w:rPr>
        <w:t xml:space="preserve">In spite of the encouraging news about the magnitude and benefits of this credit, we find that </w:t>
      </w:r>
      <w:r w:rsidR="00902172">
        <w:rPr>
          <w:rFonts w:ascii="Arial" w:hAnsi="Arial" w:cs="Arial"/>
          <w:szCs w:val="24"/>
        </w:rPr>
        <w:t xml:space="preserve">claiming the </w:t>
      </w:r>
      <w:r>
        <w:rPr>
          <w:rFonts w:ascii="Arial" w:hAnsi="Arial" w:cs="Arial"/>
          <w:szCs w:val="24"/>
        </w:rPr>
        <w:t xml:space="preserve">R&amp;D </w:t>
      </w:r>
      <w:r w:rsidR="00902172">
        <w:rPr>
          <w:rFonts w:ascii="Arial" w:hAnsi="Arial" w:cs="Arial"/>
          <w:szCs w:val="24"/>
        </w:rPr>
        <w:t xml:space="preserve">tax credit </w:t>
      </w:r>
      <w:r>
        <w:rPr>
          <w:rFonts w:ascii="Arial" w:hAnsi="Arial" w:cs="Arial"/>
          <w:szCs w:val="24"/>
        </w:rPr>
        <w:t>is an</w:t>
      </w:r>
      <w:r w:rsidR="00CF2093">
        <w:rPr>
          <w:rFonts w:ascii="Arial" w:hAnsi="Arial" w:cs="Arial"/>
          <w:szCs w:val="24"/>
        </w:rPr>
        <w:t xml:space="preserve"> often underutilized tax savings strategy in the graphic arts industry.  Studies have shown that most manufacturers (including many printers) across the count</w:t>
      </w:r>
      <w:r>
        <w:rPr>
          <w:rFonts w:ascii="Arial" w:hAnsi="Arial" w:cs="Arial"/>
          <w:szCs w:val="24"/>
        </w:rPr>
        <w:t xml:space="preserve">ry are missing out on this cash </w:t>
      </w:r>
      <w:r w:rsidR="00CF2093">
        <w:rPr>
          <w:rFonts w:ascii="Arial" w:hAnsi="Arial" w:cs="Arial"/>
          <w:szCs w:val="24"/>
        </w:rPr>
        <w:t>saving opportunity.  Only one out of twenty small and medium sized companies eligible for this credit are actually taking advantage of it.  Additionally, for those who are claiming the credit, those same studies show that the credits claimed are often significantly under reported.</w:t>
      </w:r>
      <w:r>
        <w:rPr>
          <w:rFonts w:ascii="Arial" w:hAnsi="Arial" w:cs="Arial"/>
          <w:szCs w:val="24"/>
        </w:rPr>
        <w:t xml:space="preserve">  </w:t>
      </w:r>
      <w:r w:rsidR="00CF2093">
        <w:rPr>
          <w:rFonts w:ascii="Arial" w:hAnsi="Arial" w:cs="Arial"/>
          <w:szCs w:val="24"/>
        </w:rPr>
        <w:t xml:space="preserve">Our experience with our printing clients is consistent with the findings of these studies.  Simply put, printers are underutilizing this fantastic tax and cash savings opportunity.  </w:t>
      </w:r>
      <w:r>
        <w:rPr>
          <w:rFonts w:ascii="Arial" w:hAnsi="Arial" w:cs="Arial"/>
          <w:szCs w:val="24"/>
        </w:rPr>
        <w:t>Yet</w:t>
      </w:r>
      <w:r w:rsidR="007E708B">
        <w:rPr>
          <w:rFonts w:ascii="Arial" w:hAnsi="Arial" w:cs="Arial"/>
          <w:szCs w:val="24"/>
        </w:rPr>
        <w:t>,</w:t>
      </w:r>
      <w:r>
        <w:rPr>
          <w:rFonts w:ascii="Arial" w:hAnsi="Arial" w:cs="Arial"/>
          <w:szCs w:val="24"/>
        </w:rPr>
        <w:t xml:space="preserve"> if your company is innovative and creative in solving customer issues and you a</w:t>
      </w:r>
      <w:r w:rsidR="00CE1BD7">
        <w:rPr>
          <w:rFonts w:ascii="Arial" w:hAnsi="Arial" w:cs="Arial"/>
          <w:szCs w:val="24"/>
        </w:rPr>
        <w:t>re involved in process improvement within your organization</w:t>
      </w:r>
      <w:r w:rsidR="00CD58AB">
        <w:rPr>
          <w:rFonts w:ascii="Arial" w:hAnsi="Arial" w:cs="Arial"/>
          <w:szCs w:val="24"/>
        </w:rPr>
        <w:t xml:space="preserve">, chances are your </w:t>
      </w:r>
      <w:r>
        <w:rPr>
          <w:rFonts w:ascii="Arial" w:hAnsi="Arial" w:cs="Arial"/>
          <w:szCs w:val="24"/>
        </w:rPr>
        <w:t xml:space="preserve">activities qualify </w:t>
      </w:r>
      <w:r w:rsidR="00CE1BD7">
        <w:rPr>
          <w:rFonts w:ascii="Arial" w:hAnsi="Arial" w:cs="Arial"/>
          <w:szCs w:val="24"/>
        </w:rPr>
        <w:t xml:space="preserve">you </w:t>
      </w:r>
      <w:r>
        <w:rPr>
          <w:rFonts w:ascii="Arial" w:hAnsi="Arial" w:cs="Arial"/>
          <w:szCs w:val="24"/>
        </w:rPr>
        <w:t>for the credit.</w:t>
      </w:r>
    </w:p>
    <w:p w:rsidR="00CF2093" w:rsidRDefault="000A1265"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r>
        <w:rPr>
          <w:rFonts w:ascii="Arial" w:hAnsi="Arial" w:cs="Arial"/>
          <w:szCs w:val="24"/>
        </w:rPr>
        <w:t xml:space="preserve"> </w:t>
      </w:r>
    </w:p>
    <w:p w:rsidR="003A3B3F" w:rsidRDefault="003A3B3F"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p>
    <w:p w:rsidR="00784CAA" w:rsidRPr="00784CAA" w:rsidRDefault="00784CAA"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u w:val="single"/>
        </w:rPr>
      </w:pPr>
      <w:r w:rsidRPr="00784CAA">
        <w:rPr>
          <w:rFonts w:ascii="Arial" w:hAnsi="Arial" w:cs="Arial"/>
          <w:szCs w:val="24"/>
          <w:u w:val="single"/>
        </w:rPr>
        <w:t>Do You Qualify</w:t>
      </w:r>
      <w:r w:rsidR="000A1265">
        <w:rPr>
          <w:rFonts w:ascii="Arial" w:hAnsi="Arial" w:cs="Arial"/>
          <w:szCs w:val="24"/>
          <w:u w:val="single"/>
        </w:rPr>
        <w:t>?</w:t>
      </w:r>
    </w:p>
    <w:p w:rsidR="00784CAA" w:rsidRDefault="00784CAA"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r>
        <w:rPr>
          <w:rFonts w:ascii="Arial" w:hAnsi="Arial" w:cs="Arial"/>
          <w:szCs w:val="24"/>
        </w:rPr>
        <w:t>Regardless of industry</w:t>
      </w:r>
      <w:r w:rsidR="000A1265">
        <w:rPr>
          <w:rFonts w:ascii="Arial" w:hAnsi="Arial" w:cs="Arial"/>
          <w:szCs w:val="24"/>
        </w:rPr>
        <w:t xml:space="preserve"> niche, size, or revenue any </w:t>
      </w:r>
      <w:r>
        <w:rPr>
          <w:rFonts w:ascii="Arial" w:hAnsi="Arial" w:cs="Arial"/>
          <w:szCs w:val="24"/>
        </w:rPr>
        <w:t>company that performs activities that meet the following four definitional areas can qualify for the credit.</w:t>
      </w:r>
    </w:p>
    <w:p w:rsidR="00784CAA" w:rsidRDefault="00784CAA" w:rsidP="00CF2093">
      <w:pPr>
        <w:tabs>
          <w:tab w:val="left" w:pos="533"/>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p>
    <w:p w:rsidR="00784CAA" w:rsidRPr="00B52DCC" w:rsidRDefault="00784CAA" w:rsidP="00B52DCC">
      <w:pPr>
        <w:pStyle w:val="ListParagraph"/>
        <w:numPr>
          <w:ilvl w:val="0"/>
          <w:numId w:val="33"/>
        </w:num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sidRPr="00B52DCC">
        <w:rPr>
          <w:rFonts w:ascii="Arial" w:hAnsi="Arial" w:cs="Arial"/>
          <w:sz w:val="24"/>
          <w:szCs w:val="24"/>
        </w:rPr>
        <w:t>Qualified Purpose</w:t>
      </w:r>
    </w:p>
    <w:p w:rsidR="00784CAA" w:rsidRPr="00B52DCC" w:rsidRDefault="000A1265" w:rsidP="00B52DCC">
      <w:pPr>
        <w:tabs>
          <w:tab w:val="left" w:pos="720"/>
          <w:tab w:val="left" w:pos="5846"/>
          <w:tab w:val="center" w:pos="6437"/>
          <w:tab w:val="decimal" w:pos="7042"/>
          <w:tab w:val="left" w:pos="7229"/>
          <w:tab w:val="center" w:pos="7819"/>
          <w:tab w:val="decimal" w:pos="8410"/>
          <w:tab w:val="left" w:pos="8611"/>
          <w:tab w:val="center" w:pos="9202"/>
          <w:tab w:val="decimal" w:pos="9792"/>
        </w:tabs>
        <w:ind w:left="720"/>
        <w:rPr>
          <w:rFonts w:ascii="Arial" w:hAnsi="Arial" w:cs="Arial"/>
          <w:szCs w:val="24"/>
        </w:rPr>
      </w:pPr>
      <w:r>
        <w:rPr>
          <w:rFonts w:ascii="Arial" w:hAnsi="Arial" w:cs="Arial"/>
          <w:szCs w:val="24"/>
        </w:rPr>
        <w:t>You must demonstrate that your activities</w:t>
      </w:r>
      <w:r w:rsidR="00B52DCC" w:rsidRPr="00B52DCC">
        <w:rPr>
          <w:rFonts w:ascii="Arial" w:hAnsi="Arial" w:cs="Arial"/>
          <w:szCs w:val="24"/>
        </w:rPr>
        <w:t xml:space="preserve"> create a new or improved product or an improved process that results in increased performance</w:t>
      </w:r>
      <w:r w:rsidR="00902172">
        <w:rPr>
          <w:rFonts w:ascii="Arial" w:hAnsi="Arial" w:cs="Arial"/>
          <w:szCs w:val="24"/>
        </w:rPr>
        <w:t>,</w:t>
      </w:r>
      <w:r w:rsidR="00B52DCC" w:rsidRPr="00B52DCC">
        <w:rPr>
          <w:rFonts w:ascii="Arial" w:hAnsi="Arial" w:cs="Arial"/>
          <w:szCs w:val="24"/>
        </w:rPr>
        <w:t xml:space="preserve"> function, reliability or quality</w:t>
      </w:r>
      <w:r w:rsidR="00902172">
        <w:rPr>
          <w:rFonts w:ascii="Arial" w:hAnsi="Arial" w:cs="Arial"/>
          <w:szCs w:val="24"/>
        </w:rPr>
        <w:t xml:space="preserve">.  </w:t>
      </w:r>
      <w:r w:rsidR="00B52DCC" w:rsidRPr="00B52DCC">
        <w:rPr>
          <w:rFonts w:ascii="Arial" w:hAnsi="Arial" w:cs="Arial"/>
          <w:szCs w:val="24"/>
        </w:rPr>
        <w:t>Most (if not all) of our printing clients define their pla</w:t>
      </w:r>
      <w:r w:rsidR="00902172">
        <w:rPr>
          <w:rFonts w:ascii="Arial" w:hAnsi="Arial" w:cs="Arial"/>
          <w:szCs w:val="24"/>
        </w:rPr>
        <w:t xml:space="preserve">ce in the </w:t>
      </w:r>
      <w:r w:rsidR="00D07A23">
        <w:rPr>
          <w:rFonts w:ascii="Arial" w:hAnsi="Arial" w:cs="Arial"/>
          <w:szCs w:val="24"/>
        </w:rPr>
        <w:t>m</w:t>
      </w:r>
      <w:r w:rsidR="00902172">
        <w:rPr>
          <w:rFonts w:ascii="Arial" w:hAnsi="Arial" w:cs="Arial"/>
          <w:szCs w:val="24"/>
        </w:rPr>
        <w:t>arketplace around the attributes of innovation, quality and provides technological solutions to customer needs.  These all fit within the criteria of this definition requirement</w:t>
      </w:r>
      <w:r w:rsidR="00052C2D">
        <w:rPr>
          <w:rFonts w:ascii="Arial" w:hAnsi="Arial" w:cs="Arial"/>
          <w:szCs w:val="24"/>
        </w:rPr>
        <w:t>. I</w:t>
      </w:r>
      <w:r w:rsidR="00B52DCC" w:rsidRPr="00B52DCC">
        <w:rPr>
          <w:rFonts w:ascii="Arial" w:hAnsi="Arial" w:cs="Arial"/>
          <w:szCs w:val="24"/>
        </w:rPr>
        <w:t>f you aren’t claiming the credit</w:t>
      </w:r>
      <w:r>
        <w:rPr>
          <w:rFonts w:ascii="Arial" w:hAnsi="Arial" w:cs="Arial"/>
          <w:szCs w:val="24"/>
        </w:rPr>
        <w:t xml:space="preserve"> because you don’t think your activities qualify</w:t>
      </w:r>
      <w:r w:rsidR="00B52DCC" w:rsidRPr="00B52DCC">
        <w:rPr>
          <w:rFonts w:ascii="Arial" w:hAnsi="Arial" w:cs="Arial"/>
          <w:szCs w:val="24"/>
        </w:rPr>
        <w:t>, you may want to take another look.</w:t>
      </w:r>
    </w:p>
    <w:p w:rsidR="00B52DCC" w:rsidRPr="00B52DCC" w:rsidRDefault="00B52DCC" w:rsidP="00B52DCC">
      <w:pPr>
        <w:tabs>
          <w:tab w:val="left" w:pos="720"/>
          <w:tab w:val="left" w:pos="5846"/>
          <w:tab w:val="center" w:pos="6437"/>
          <w:tab w:val="decimal" w:pos="7042"/>
          <w:tab w:val="left" w:pos="7229"/>
          <w:tab w:val="center" w:pos="7819"/>
          <w:tab w:val="decimal" w:pos="8410"/>
          <w:tab w:val="left" w:pos="8611"/>
          <w:tab w:val="center" w:pos="9202"/>
          <w:tab w:val="decimal" w:pos="9792"/>
        </w:tabs>
        <w:ind w:left="720"/>
        <w:rPr>
          <w:rFonts w:ascii="Arial" w:hAnsi="Arial" w:cs="Arial"/>
          <w:szCs w:val="24"/>
        </w:rPr>
      </w:pPr>
    </w:p>
    <w:p w:rsidR="00B52DCC" w:rsidRDefault="00B52DCC" w:rsidP="00B52DCC">
      <w:pPr>
        <w:pStyle w:val="ListParagraph"/>
        <w:numPr>
          <w:ilvl w:val="0"/>
          <w:numId w:val="33"/>
        </w:num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t>Technological in Nature</w:t>
      </w:r>
    </w:p>
    <w:p w:rsidR="00B52DCC" w:rsidRDefault="00B52DCC" w:rsidP="00B52DCC">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t>The qualifying activi</w:t>
      </w:r>
      <w:r w:rsidR="00CD6157">
        <w:rPr>
          <w:rFonts w:ascii="Arial" w:hAnsi="Arial" w:cs="Arial"/>
          <w:sz w:val="24"/>
          <w:szCs w:val="24"/>
        </w:rPr>
        <w:t>ties must rely on hard sciences</w:t>
      </w:r>
      <w:r>
        <w:rPr>
          <w:rFonts w:ascii="Arial" w:hAnsi="Arial" w:cs="Arial"/>
          <w:sz w:val="24"/>
          <w:szCs w:val="24"/>
        </w:rPr>
        <w:t xml:space="preserve"> such as chemistry, engineering, physics and computer science.  Many printers think they don’t qualify because they aren’t building rocket ships.  However</w:t>
      </w:r>
      <w:r w:rsidR="00052C2D">
        <w:rPr>
          <w:rFonts w:ascii="Arial" w:hAnsi="Arial" w:cs="Arial"/>
          <w:sz w:val="24"/>
          <w:szCs w:val="24"/>
        </w:rPr>
        <w:t>,</w:t>
      </w:r>
      <w:r>
        <w:rPr>
          <w:rFonts w:ascii="Arial" w:hAnsi="Arial" w:cs="Arial"/>
          <w:sz w:val="24"/>
          <w:szCs w:val="24"/>
        </w:rPr>
        <w:t xml:space="preserve"> take a walk through any printing plant and you’ll see the “hard” </w:t>
      </w:r>
      <w:r w:rsidR="00CD6157">
        <w:rPr>
          <w:rFonts w:ascii="Arial" w:hAnsi="Arial" w:cs="Arial"/>
          <w:sz w:val="24"/>
          <w:szCs w:val="24"/>
        </w:rPr>
        <w:t>sciences in action.  The industry is a constant state of technological advancement and as such this defining requirement is usually easily met.</w:t>
      </w:r>
    </w:p>
    <w:p w:rsidR="003A3B3F" w:rsidRDefault="003A3B3F" w:rsidP="003A3B3F">
      <w:p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p>
    <w:p w:rsidR="003A3B3F" w:rsidRPr="003A3B3F" w:rsidRDefault="003A3B3F" w:rsidP="003A3B3F">
      <w:p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p>
    <w:p w:rsidR="00CD6157" w:rsidRDefault="00CD6157" w:rsidP="00CD6157">
      <w:pPr>
        <w:pStyle w:val="ListParagraph"/>
        <w:numPr>
          <w:ilvl w:val="0"/>
          <w:numId w:val="33"/>
        </w:num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lastRenderedPageBreak/>
        <w:t>Process of Experimentation</w:t>
      </w:r>
    </w:p>
    <w:p w:rsidR="00CD6157" w:rsidRDefault="00CD6157" w:rsidP="00CD6157">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t>The qualifying activities are supposed to demonstrate that a process of experimentation was undertaken to achieve a desired outcome.  Printers often review and debate alternative methods for achieving a desired outcome</w:t>
      </w:r>
      <w:r w:rsidR="000A1265">
        <w:rPr>
          <w:rFonts w:ascii="Arial" w:hAnsi="Arial" w:cs="Arial"/>
          <w:sz w:val="24"/>
          <w:szCs w:val="24"/>
        </w:rPr>
        <w:t xml:space="preserve"> with their customers.  T</w:t>
      </w:r>
      <w:r w:rsidR="00902172">
        <w:rPr>
          <w:rFonts w:ascii="Arial" w:hAnsi="Arial" w:cs="Arial"/>
          <w:sz w:val="24"/>
          <w:szCs w:val="24"/>
        </w:rPr>
        <w:t>hat experimentation</w:t>
      </w:r>
      <w:r>
        <w:rPr>
          <w:rFonts w:ascii="Arial" w:hAnsi="Arial" w:cs="Arial"/>
          <w:sz w:val="24"/>
          <w:szCs w:val="24"/>
        </w:rPr>
        <w:t xml:space="preserve"> can qualify your activity for R&amp;D purposes.</w:t>
      </w:r>
    </w:p>
    <w:p w:rsidR="00CD6157" w:rsidRDefault="00CD6157" w:rsidP="00CD6157">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p>
    <w:p w:rsidR="00CD6157" w:rsidRDefault="00CD6157" w:rsidP="00CD6157">
      <w:pPr>
        <w:pStyle w:val="ListParagraph"/>
        <w:numPr>
          <w:ilvl w:val="0"/>
          <w:numId w:val="33"/>
        </w:numPr>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t>Technical Uncertainty</w:t>
      </w:r>
    </w:p>
    <w:p w:rsidR="009407F4" w:rsidRDefault="00CD6157" w:rsidP="00CD6157">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r>
        <w:rPr>
          <w:rFonts w:ascii="Arial" w:hAnsi="Arial" w:cs="Arial"/>
          <w:sz w:val="24"/>
          <w:szCs w:val="24"/>
        </w:rPr>
        <w:t xml:space="preserve">The activity must demonstrate a certain level of technological </w:t>
      </w:r>
      <w:r w:rsidR="00F36C8E">
        <w:rPr>
          <w:rFonts w:ascii="Arial" w:hAnsi="Arial" w:cs="Arial"/>
          <w:sz w:val="24"/>
          <w:szCs w:val="24"/>
        </w:rPr>
        <w:t>uncertainty</w:t>
      </w:r>
      <w:r w:rsidR="000A1265">
        <w:rPr>
          <w:rFonts w:ascii="Arial" w:hAnsi="Arial" w:cs="Arial"/>
          <w:sz w:val="24"/>
          <w:szCs w:val="24"/>
        </w:rPr>
        <w:t xml:space="preserve"> about </w:t>
      </w:r>
      <w:r>
        <w:rPr>
          <w:rFonts w:ascii="Arial" w:hAnsi="Arial" w:cs="Arial"/>
          <w:sz w:val="24"/>
          <w:szCs w:val="24"/>
        </w:rPr>
        <w:t xml:space="preserve">development of a product, a </w:t>
      </w:r>
      <w:r w:rsidR="000A1265">
        <w:rPr>
          <w:rFonts w:ascii="Arial" w:hAnsi="Arial" w:cs="Arial"/>
          <w:sz w:val="24"/>
          <w:szCs w:val="24"/>
        </w:rPr>
        <w:t xml:space="preserve">new </w:t>
      </w:r>
      <w:r>
        <w:rPr>
          <w:rFonts w:ascii="Arial" w:hAnsi="Arial" w:cs="Arial"/>
          <w:sz w:val="24"/>
          <w:szCs w:val="24"/>
        </w:rPr>
        <w:t>process improvement or in meeting a customers demands.  We find printers often denying they can overcome this requirement because they are so good at what they do</w:t>
      </w:r>
      <w:r w:rsidR="000A1265">
        <w:rPr>
          <w:rFonts w:ascii="Arial" w:hAnsi="Arial" w:cs="Arial"/>
          <w:sz w:val="24"/>
          <w:szCs w:val="24"/>
        </w:rPr>
        <w:t>.  T</w:t>
      </w:r>
      <w:r>
        <w:rPr>
          <w:rFonts w:ascii="Arial" w:hAnsi="Arial" w:cs="Arial"/>
          <w:sz w:val="24"/>
          <w:szCs w:val="24"/>
        </w:rPr>
        <w:t xml:space="preserve">hey </w:t>
      </w:r>
      <w:r w:rsidRPr="0096407E">
        <w:rPr>
          <w:rFonts w:ascii="Arial" w:hAnsi="Arial" w:cs="Arial"/>
          <w:sz w:val="24"/>
          <w:szCs w:val="24"/>
          <w:u w:val="single"/>
        </w:rPr>
        <w:t>know</w:t>
      </w:r>
      <w:r>
        <w:rPr>
          <w:rFonts w:ascii="Arial" w:hAnsi="Arial" w:cs="Arial"/>
          <w:sz w:val="24"/>
          <w:szCs w:val="24"/>
        </w:rPr>
        <w:t xml:space="preserve"> they will fin</w:t>
      </w:r>
      <w:r w:rsidR="009407F4">
        <w:rPr>
          <w:rFonts w:ascii="Arial" w:hAnsi="Arial" w:cs="Arial"/>
          <w:sz w:val="24"/>
          <w:szCs w:val="24"/>
        </w:rPr>
        <w:t>d a way to overcome</w:t>
      </w:r>
      <w:r w:rsidR="007E708B">
        <w:rPr>
          <w:rFonts w:ascii="Arial" w:hAnsi="Arial" w:cs="Arial"/>
          <w:sz w:val="24"/>
          <w:szCs w:val="24"/>
        </w:rPr>
        <w:t xml:space="preserve"> </w:t>
      </w:r>
      <w:r w:rsidR="0096407E">
        <w:rPr>
          <w:rFonts w:ascii="Arial" w:hAnsi="Arial" w:cs="Arial"/>
          <w:sz w:val="24"/>
          <w:szCs w:val="24"/>
        </w:rPr>
        <w:t>challenges</w:t>
      </w:r>
      <w:r w:rsidR="00902172">
        <w:rPr>
          <w:rFonts w:ascii="Arial" w:hAnsi="Arial" w:cs="Arial"/>
          <w:sz w:val="24"/>
          <w:szCs w:val="24"/>
        </w:rPr>
        <w:t xml:space="preserve"> so they don’t view their activities as “uncertain”</w:t>
      </w:r>
      <w:r w:rsidR="0096407E">
        <w:rPr>
          <w:rFonts w:ascii="Arial" w:hAnsi="Arial" w:cs="Arial"/>
          <w:sz w:val="24"/>
          <w:szCs w:val="24"/>
        </w:rPr>
        <w:t>.  Don’t confuse this</w:t>
      </w:r>
      <w:r w:rsidR="009407F4">
        <w:rPr>
          <w:rFonts w:ascii="Arial" w:hAnsi="Arial" w:cs="Arial"/>
          <w:sz w:val="24"/>
          <w:szCs w:val="24"/>
        </w:rPr>
        <w:t xml:space="preserve"> confidence in </w:t>
      </w:r>
      <w:r w:rsidR="009407F4" w:rsidRPr="00902172">
        <w:rPr>
          <w:rFonts w:ascii="Arial" w:hAnsi="Arial" w:cs="Arial"/>
          <w:sz w:val="24"/>
          <w:szCs w:val="24"/>
          <w:u w:val="single"/>
        </w:rPr>
        <w:t>ultimately</w:t>
      </w:r>
      <w:r w:rsidR="009407F4">
        <w:rPr>
          <w:rFonts w:ascii="Arial" w:hAnsi="Arial" w:cs="Arial"/>
          <w:sz w:val="24"/>
          <w:szCs w:val="24"/>
        </w:rPr>
        <w:t xml:space="preserve"> finding a solution as the reason you don’t qualify for the credits</w:t>
      </w:r>
      <w:r w:rsidR="00902172">
        <w:rPr>
          <w:rFonts w:ascii="Arial" w:hAnsi="Arial" w:cs="Arial"/>
          <w:sz w:val="24"/>
          <w:szCs w:val="24"/>
        </w:rPr>
        <w:t xml:space="preserve">.  The momentary uncertainty of knowing your path forward </w:t>
      </w:r>
      <w:r w:rsidR="00D07A23">
        <w:rPr>
          <w:rFonts w:ascii="Arial" w:hAnsi="Arial" w:cs="Arial"/>
          <w:sz w:val="24"/>
          <w:szCs w:val="24"/>
        </w:rPr>
        <w:t xml:space="preserve">is </w:t>
      </w:r>
      <w:r w:rsidR="00902172">
        <w:rPr>
          <w:rFonts w:ascii="Arial" w:hAnsi="Arial" w:cs="Arial"/>
          <w:sz w:val="24"/>
          <w:szCs w:val="24"/>
        </w:rPr>
        <w:t>often enough to demonstrate the surety of the correct path forward.</w:t>
      </w:r>
    </w:p>
    <w:p w:rsidR="003A3B3F" w:rsidRDefault="003A3B3F" w:rsidP="00CD6157">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rPr>
          <w:rFonts w:ascii="Arial" w:hAnsi="Arial" w:cs="Arial"/>
          <w:sz w:val="24"/>
          <w:szCs w:val="24"/>
        </w:rPr>
      </w:pPr>
    </w:p>
    <w:p w:rsidR="00CE1BD7" w:rsidRDefault="00CE1BD7" w:rsidP="009407F4">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ind w:hanging="720"/>
        <w:rPr>
          <w:rFonts w:ascii="Arial" w:hAnsi="Arial" w:cs="Arial"/>
          <w:sz w:val="24"/>
          <w:szCs w:val="24"/>
          <w:u w:val="single"/>
        </w:rPr>
      </w:pPr>
      <w:r>
        <w:rPr>
          <w:rFonts w:ascii="Arial" w:hAnsi="Arial" w:cs="Arial"/>
          <w:sz w:val="24"/>
          <w:szCs w:val="24"/>
          <w:u w:val="single"/>
        </w:rPr>
        <w:t>What is the Credit?</w:t>
      </w:r>
    </w:p>
    <w:p w:rsidR="00CE1BD7" w:rsidRDefault="00CE1BD7" w:rsidP="00CE1BD7">
      <w:pPr>
        <w:pStyle w:val="ListParagraph"/>
        <w:tabs>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r>
        <w:rPr>
          <w:rFonts w:ascii="Arial" w:hAnsi="Arial" w:cs="Arial"/>
          <w:sz w:val="24"/>
          <w:szCs w:val="24"/>
        </w:rPr>
        <w:t>The credit is calculated a</w:t>
      </w:r>
      <w:bookmarkStart w:id="0" w:name="_GoBack"/>
      <w:bookmarkEnd w:id="0"/>
      <w:r>
        <w:rPr>
          <w:rFonts w:ascii="Arial" w:hAnsi="Arial" w:cs="Arial"/>
          <w:sz w:val="24"/>
          <w:szCs w:val="24"/>
        </w:rPr>
        <w:t>s a percentage of the select costs for your qualified activities.  Primary costs that qualify include:</w:t>
      </w:r>
    </w:p>
    <w:p w:rsidR="003A3B3F" w:rsidRDefault="003A3B3F" w:rsidP="00CE1BD7">
      <w:pPr>
        <w:pStyle w:val="ListParagraph"/>
        <w:tabs>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p>
    <w:p w:rsidR="003A3B3F" w:rsidRDefault="003A3B3F" w:rsidP="003A3B3F">
      <w:pPr>
        <w:pStyle w:val="ListParagraph"/>
        <w:numPr>
          <w:ilvl w:val="0"/>
          <w:numId w:val="33"/>
        </w:numPr>
        <w:tabs>
          <w:tab w:val="left" w:pos="5846"/>
          <w:tab w:val="center" w:pos="6437"/>
          <w:tab w:val="decimal" w:pos="7042"/>
          <w:tab w:val="left" w:pos="7229"/>
          <w:tab w:val="center" w:pos="7819"/>
          <w:tab w:val="decimal" w:pos="8410"/>
          <w:tab w:val="left" w:pos="8611"/>
          <w:tab w:val="center" w:pos="9202"/>
          <w:tab w:val="decimal" w:pos="9792"/>
        </w:tabs>
        <w:spacing w:line="480" w:lineRule="auto"/>
        <w:rPr>
          <w:rFonts w:ascii="Arial" w:hAnsi="Arial" w:cs="Arial"/>
          <w:sz w:val="24"/>
          <w:szCs w:val="24"/>
        </w:rPr>
      </w:pPr>
      <w:r>
        <w:rPr>
          <w:rFonts w:ascii="Arial" w:hAnsi="Arial" w:cs="Arial"/>
          <w:sz w:val="24"/>
          <w:szCs w:val="24"/>
        </w:rPr>
        <w:t>Direct wages of those involved in R&amp;D activities</w:t>
      </w:r>
    </w:p>
    <w:p w:rsidR="003A3B3F" w:rsidRDefault="00CD58AB" w:rsidP="003A3B3F">
      <w:pPr>
        <w:pStyle w:val="ListParagraph"/>
        <w:numPr>
          <w:ilvl w:val="0"/>
          <w:numId w:val="33"/>
        </w:numPr>
        <w:tabs>
          <w:tab w:val="left" w:pos="5846"/>
          <w:tab w:val="center" w:pos="6437"/>
          <w:tab w:val="decimal" w:pos="7042"/>
          <w:tab w:val="left" w:pos="7229"/>
          <w:tab w:val="center" w:pos="7819"/>
          <w:tab w:val="decimal" w:pos="8410"/>
          <w:tab w:val="left" w:pos="8611"/>
          <w:tab w:val="center" w:pos="9202"/>
          <w:tab w:val="decimal" w:pos="9792"/>
        </w:tabs>
        <w:spacing w:line="480" w:lineRule="auto"/>
        <w:rPr>
          <w:rFonts w:ascii="Arial" w:hAnsi="Arial" w:cs="Arial"/>
          <w:sz w:val="24"/>
          <w:szCs w:val="24"/>
        </w:rPr>
      </w:pPr>
      <w:r>
        <w:rPr>
          <w:rFonts w:ascii="Arial" w:hAnsi="Arial" w:cs="Arial"/>
          <w:sz w:val="24"/>
          <w:szCs w:val="24"/>
        </w:rPr>
        <w:t>Supervising</w:t>
      </w:r>
      <w:r w:rsidR="003A3B3F">
        <w:rPr>
          <w:rFonts w:ascii="Arial" w:hAnsi="Arial" w:cs="Arial"/>
          <w:sz w:val="24"/>
          <w:szCs w:val="24"/>
        </w:rPr>
        <w:t xml:space="preserve"> wages related to R&amp;D activities</w:t>
      </w:r>
    </w:p>
    <w:p w:rsidR="003A3B3F" w:rsidRDefault="003A3B3F" w:rsidP="003A3B3F">
      <w:pPr>
        <w:pStyle w:val="ListParagraph"/>
        <w:numPr>
          <w:ilvl w:val="0"/>
          <w:numId w:val="33"/>
        </w:numPr>
        <w:tabs>
          <w:tab w:val="left" w:pos="5846"/>
          <w:tab w:val="center" w:pos="6437"/>
          <w:tab w:val="decimal" w:pos="7042"/>
          <w:tab w:val="left" w:pos="7229"/>
          <w:tab w:val="center" w:pos="7819"/>
          <w:tab w:val="decimal" w:pos="8410"/>
          <w:tab w:val="left" w:pos="8611"/>
          <w:tab w:val="center" w:pos="9202"/>
          <w:tab w:val="decimal" w:pos="9792"/>
        </w:tabs>
        <w:spacing w:line="480" w:lineRule="auto"/>
        <w:rPr>
          <w:rFonts w:ascii="Arial" w:hAnsi="Arial" w:cs="Arial"/>
          <w:sz w:val="24"/>
          <w:szCs w:val="24"/>
        </w:rPr>
      </w:pPr>
      <w:r>
        <w:rPr>
          <w:rFonts w:ascii="Arial" w:hAnsi="Arial" w:cs="Arial"/>
          <w:sz w:val="24"/>
          <w:szCs w:val="24"/>
        </w:rPr>
        <w:t>Supply/Material costs</w:t>
      </w:r>
    </w:p>
    <w:p w:rsidR="003A3B3F" w:rsidRDefault="003A3B3F" w:rsidP="003A3B3F">
      <w:pPr>
        <w:pStyle w:val="ListParagraph"/>
        <w:numPr>
          <w:ilvl w:val="0"/>
          <w:numId w:val="33"/>
        </w:numPr>
        <w:tabs>
          <w:tab w:val="left" w:pos="5846"/>
          <w:tab w:val="center" w:pos="6437"/>
          <w:tab w:val="decimal" w:pos="7042"/>
          <w:tab w:val="left" w:pos="7229"/>
          <w:tab w:val="center" w:pos="7819"/>
          <w:tab w:val="decimal" w:pos="8410"/>
          <w:tab w:val="left" w:pos="8611"/>
          <w:tab w:val="center" w:pos="9202"/>
          <w:tab w:val="decimal" w:pos="9792"/>
        </w:tabs>
        <w:spacing w:line="480" w:lineRule="auto"/>
        <w:rPr>
          <w:rFonts w:ascii="Arial" w:hAnsi="Arial" w:cs="Arial"/>
          <w:sz w:val="24"/>
          <w:szCs w:val="24"/>
        </w:rPr>
      </w:pPr>
      <w:r>
        <w:rPr>
          <w:rFonts w:ascii="Arial" w:hAnsi="Arial" w:cs="Arial"/>
          <w:sz w:val="24"/>
          <w:szCs w:val="24"/>
        </w:rPr>
        <w:t>Qualified contracted research costs</w:t>
      </w:r>
    </w:p>
    <w:p w:rsidR="0096407E" w:rsidRPr="0096407E" w:rsidRDefault="0096407E" w:rsidP="0096407E">
      <w:pPr>
        <w:tabs>
          <w:tab w:val="left" w:pos="5846"/>
          <w:tab w:val="center" w:pos="6437"/>
          <w:tab w:val="decimal" w:pos="7042"/>
          <w:tab w:val="left" w:pos="7229"/>
          <w:tab w:val="center" w:pos="7819"/>
          <w:tab w:val="decimal" w:pos="8410"/>
          <w:tab w:val="left" w:pos="8611"/>
          <w:tab w:val="center" w:pos="9202"/>
          <w:tab w:val="decimal" w:pos="9792"/>
        </w:tabs>
        <w:rPr>
          <w:rFonts w:ascii="Arial" w:hAnsi="Arial" w:cs="Arial"/>
          <w:szCs w:val="24"/>
        </w:rPr>
      </w:pPr>
      <w:r>
        <w:rPr>
          <w:rFonts w:ascii="Arial" w:hAnsi="Arial" w:cs="Arial"/>
          <w:szCs w:val="24"/>
        </w:rPr>
        <w:t>The actual calculation of the credit is fairly complex but if you qualify – the credits can bring significant tax savings.  One researcher noted that large companies (those with sales in excess of $250 billion in gross sales) are averaging tax credits as much as 2% of aggregate gross sales volume.</w:t>
      </w:r>
    </w:p>
    <w:p w:rsidR="003A3B3F" w:rsidRDefault="003A3B3F" w:rsidP="009407F4">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ind w:hanging="720"/>
        <w:rPr>
          <w:rFonts w:ascii="Arial" w:hAnsi="Arial" w:cs="Arial"/>
          <w:sz w:val="24"/>
          <w:szCs w:val="24"/>
          <w:u w:val="single"/>
        </w:rPr>
      </w:pPr>
    </w:p>
    <w:p w:rsidR="009407F4" w:rsidRDefault="009407F4" w:rsidP="009407F4">
      <w:pPr>
        <w:pStyle w:val="ListParagraph"/>
        <w:tabs>
          <w:tab w:val="left" w:pos="720"/>
          <w:tab w:val="left" w:pos="5846"/>
          <w:tab w:val="center" w:pos="6437"/>
          <w:tab w:val="decimal" w:pos="7042"/>
          <w:tab w:val="left" w:pos="7229"/>
          <w:tab w:val="center" w:pos="7819"/>
          <w:tab w:val="decimal" w:pos="8410"/>
          <w:tab w:val="left" w:pos="8611"/>
          <w:tab w:val="center" w:pos="9202"/>
          <w:tab w:val="decimal" w:pos="9792"/>
        </w:tabs>
        <w:ind w:hanging="720"/>
        <w:rPr>
          <w:rFonts w:ascii="Arial" w:hAnsi="Arial" w:cs="Arial"/>
          <w:sz w:val="24"/>
          <w:szCs w:val="24"/>
          <w:u w:val="single"/>
        </w:rPr>
      </w:pPr>
      <w:r w:rsidRPr="009407F4">
        <w:rPr>
          <w:rFonts w:ascii="Arial" w:hAnsi="Arial" w:cs="Arial"/>
          <w:sz w:val="24"/>
          <w:szCs w:val="24"/>
          <w:u w:val="single"/>
        </w:rPr>
        <w:t>Next Steps</w:t>
      </w:r>
    </w:p>
    <w:p w:rsidR="009407F4" w:rsidRDefault="00902172"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r>
        <w:rPr>
          <w:rFonts w:ascii="Arial" w:hAnsi="Arial" w:cs="Arial"/>
          <w:sz w:val="24"/>
          <w:szCs w:val="24"/>
        </w:rPr>
        <w:t xml:space="preserve">Given the nature, a creative service offered by the </w:t>
      </w:r>
      <w:r w:rsidR="0010047D">
        <w:rPr>
          <w:rFonts w:ascii="Arial" w:hAnsi="Arial" w:cs="Arial"/>
          <w:sz w:val="24"/>
          <w:szCs w:val="24"/>
        </w:rPr>
        <w:t>graphic arts industry and knowing the ins and outs of the R&amp;D tax credit make</w:t>
      </w:r>
      <w:r w:rsidR="00A324AC">
        <w:rPr>
          <w:rFonts w:ascii="Arial" w:hAnsi="Arial" w:cs="Arial"/>
          <w:sz w:val="24"/>
          <w:szCs w:val="24"/>
        </w:rPr>
        <w:t>s</w:t>
      </w:r>
      <w:r w:rsidR="0010047D">
        <w:rPr>
          <w:rFonts w:ascii="Arial" w:hAnsi="Arial" w:cs="Arial"/>
          <w:sz w:val="24"/>
          <w:szCs w:val="24"/>
        </w:rPr>
        <w:t xml:space="preserve"> it clear that this opportunity should be reviewed for most printers.  </w:t>
      </w:r>
      <w:r w:rsidR="009407F4">
        <w:rPr>
          <w:rFonts w:ascii="Arial" w:hAnsi="Arial" w:cs="Arial"/>
          <w:sz w:val="24"/>
          <w:szCs w:val="24"/>
        </w:rPr>
        <w:t>Bringing that understanding together can help you maximi</w:t>
      </w:r>
      <w:r>
        <w:rPr>
          <w:rFonts w:ascii="Arial" w:hAnsi="Arial" w:cs="Arial"/>
          <w:sz w:val="24"/>
          <w:szCs w:val="24"/>
        </w:rPr>
        <w:t>ze this tax savings opportunity and those saving could be significant.</w:t>
      </w:r>
    </w:p>
    <w:p w:rsidR="0010047D" w:rsidRDefault="0010047D"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p>
    <w:p w:rsidR="0010047D" w:rsidRDefault="0010047D"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r>
        <w:rPr>
          <w:rFonts w:ascii="Arial" w:hAnsi="Arial" w:cs="Arial"/>
          <w:sz w:val="24"/>
          <w:szCs w:val="24"/>
        </w:rPr>
        <w:t>If you think you may qualify for the R&amp;D tax credit be sure to talk to your professional advisor and/or tax preparer.  Alternatively, don’t hesitate to give us a call for a free consultat</w:t>
      </w:r>
      <w:r w:rsidR="00902172">
        <w:rPr>
          <w:rFonts w:ascii="Arial" w:hAnsi="Arial" w:cs="Arial"/>
          <w:sz w:val="24"/>
          <w:szCs w:val="24"/>
        </w:rPr>
        <w:t>ion on this matter</w:t>
      </w:r>
      <w:r>
        <w:rPr>
          <w:rFonts w:ascii="Arial" w:hAnsi="Arial" w:cs="Arial"/>
          <w:sz w:val="24"/>
          <w:szCs w:val="24"/>
        </w:rPr>
        <w:t>.</w:t>
      </w:r>
    </w:p>
    <w:p w:rsidR="009407F4" w:rsidRDefault="009407F4"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p>
    <w:p w:rsidR="0096407E" w:rsidRDefault="0096407E"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p>
    <w:p w:rsidR="0096407E" w:rsidRDefault="0096407E" w:rsidP="009407F4">
      <w:pPr>
        <w:pStyle w:val="ListParagraph"/>
        <w:tabs>
          <w:tab w:val="left" w:pos="0"/>
          <w:tab w:val="left" w:pos="5846"/>
          <w:tab w:val="center" w:pos="6437"/>
          <w:tab w:val="decimal" w:pos="7042"/>
          <w:tab w:val="left" w:pos="7229"/>
          <w:tab w:val="center" w:pos="7819"/>
          <w:tab w:val="decimal" w:pos="8410"/>
          <w:tab w:val="left" w:pos="8611"/>
          <w:tab w:val="center" w:pos="9202"/>
          <w:tab w:val="decimal" w:pos="9792"/>
        </w:tabs>
        <w:ind w:left="0"/>
        <w:rPr>
          <w:rFonts w:ascii="Arial" w:hAnsi="Arial" w:cs="Arial"/>
          <w:sz w:val="24"/>
          <w:szCs w:val="24"/>
        </w:rPr>
      </w:pPr>
    </w:p>
    <w:sectPr w:rsidR="0096407E" w:rsidSect="00F227C2">
      <w:headerReference w:type="default" r:id="rId8"/>
      <w:pgSz w:w="12240" w:h="15840"/>
      <w:pgMar w:top="162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AF" w:rsidRDefault="002B6FAF" w:rsidP="00CC1A0A">
      <w:r>
        <w:separator/>
      </w:r>
    </w:p>
  </w:endnote>
  <w:endnote w:type="continuationSeparator" w:id="0">
    <w:p w:rsidR="002B6FAF" w:rsidRDefault="002B6FAF" w:rsidP="00CC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AF" w:rsidRDefault="002B6FAF" w:rsidP="00CC1A0A">
      <w:r>
        <w:separator/>
      </w:r>
    </w:p>
  </w:footnote>
  <w:footnote w:type="continuationSeparator" w:id="0">
    <w:p w:rsidR="002B6FAF" w:rsidRDefault="002B6FAF" w:rsidP="00CC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rsidR="00F36C8E" w:rsidRDefault="00F36C8E" w:rsidP="00F36C8E">
        <w:pPr>
          <w:pStyle w:val="Header"/>
        </w:pPr>
      </w:p>
      <w:p w:rsidR="002E7C8F" w:rsidRPr="002E7C8F" w:rsidRDefault="00D07A23">
        <w:pPr>
          <w:pStyle w:val="Header"/>
        </w:pPr>
      </w:p>
    </w:sdtContent>
  </w:sdt>
  <w:p w:rsidR="00CC1A0A" w:rsidRDefault="00CC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E5D"/>
    <w:multiLevelType w:val="hybridMultilevel"/>
    <w:tmpl w:val="51BE7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7527"/>
    <w:multiLevelType w:val="hybridMultilevel"/>
    <w:tmpl w:val="D4CC0BFE"/>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59F9"/>
    <w:multiLevelType w:val="hybridMultilevel"/>
    <w:tmpl w:val="F3B4D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4A3"/>
    <w:multiLevelType w:val="hybridMultilevel"/>
    <w:tmpl w:val="378A07FC"/>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3645"/>
    <w:multiLevelType w:val="hybridMultilevel"/>
    <w:tmpl w:val="10225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76A0F"/>
    <w:multiLevelType w:val="hybridMultilevel"/>
    <w:tmpl w:val="381C109C"/>
    <w:lvl w:ilvl="0" w:tplc="521EB806">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72938E1"/>
    <w:multiLevelType w:val="hybridMultilevel"/>
    <w:tmpl w:val="81980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C4EA5"/>
    <w:multiLevelType w:val="hybridMultilevel"/>
    <w:tmpl w:val="AC32A2FC"/>
    <w:lvl w:ilvl="0" w:tplc="6026F2D0">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3176E"/>
    <w:multiLevelType w:val="hybridMultilevel"/>
    <w:tmpl w:val="683EB12A"/>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24744"/>
    <w:multiLevelType w:val="hybridMultilevel"/>
    <w:tmpl w:val="BBC4ED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35DFE"/>
    <w:multiLevelType w:val="hybridMultilevel"/>
    <w:tmpl w:val="B2A613CA"/>
    <w:lvl w:ilvl="0" w:tplc="6026F2D0">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60DE5"/>
    <w:multiLevelType w:val="hybridMultilevel"/>
    <w:tmpl w:val="76A40EF2"/>
    <w:lvl w:ilvl="0" w:tplc="6026F2D0">
      <w:start w:val="1"/>
      <w:numFmt w:val="bullet"/>
      <w:lvlText w:val="-"/>
      <w:lvlJc w:val="left"/>
      <w:pPr>
        <w:ind w:left="630" w:hanging="360"/>
      </w:pPr>
      <w:rPr>
        <w:rFonts w:ascii="Garamond" w:hAnsi="Garamond"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39804CC"/>
    <w:multiLevelType w:val="hybridMultilevel"/>
    <w:tmpl w:val="64849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D68F6"/>
    <w:multiLevelType w:val="hybridMultilevel"/>
    <w:tmpl w:val="BE067FF4"/>
    <w:lvl w:ilvl="0" w:tplc="3D6CDCCA">
      <w:start w:val="4"/>
      <w:numFmt w:val="decimal"/>
      <w:lvlText w:val="%1."/>
      <w:lvlJc w:val="left"/>
      <w:pPr>
        <w:tabs>
          <w:tab w:val="num" w:pos="2280"/>
        </w:tabs>
        <w:ind w:left="2280" w:hanging="48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C7F1FB6"/>
    <w:multiLevelType w:val="hybridMultilevel"/>
    <w:tmpl w:val="E8BAB262"/>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F2419"/>
    <w:multiLevelType w:val="hybridMultilevel"/>
    <w:tmpl w:val="23D87654"/>
    <w:lvl w:ilvl="0" w:tplc="9DB480EC">
      <w:start w:val="2"/>
      <w:numFmt w:val="decimal"/>
      <w:lvlText w:val="%1."/>
      <w:lvlJc w:val="left"/>
      <w:pPr>
        <w:tabs>
          <w:tab w:val="num" w:pos="2280"/>
        </w:tabs>
        <w:ind w:left="228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8262A"/>
    <w:multiLevelType w:val="hybridMultilevel"/>
    <w:tmpl w:val="C4E07DD0"/>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60662"/>
    <w:multiLevelType w:val="hybridMultilevel"/>
    <w:tmpl w:val="2AEE72EE"/>
    <w:lvl w:ilvl="0" w:tplc="2320C3FC">
      <w:start w:val="2"/>
      <w:numFmt w:val="decimal"/>
      <w:lvlText w:val="%1."/>
      <w:lvlJc w:val="left"/>
      <w:pPr>
        <w:tabs>
          <w:tab w:val="num" w:pos="2280"/>
        </w:tabs>
        <w:ind w:left="2280" w:hanging="48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F0834B4"/>
    <w:multiLevelType w:val="hybridMultilevel"/>
    <w:tmpl w:val="55CCD5EA"/>
    <w:lvl w:ilvl="0" w:tplc="6026F2D0">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80FD2"/>
    <w:multiLevelType w:val="hybridMultilevel"/>
    <w:tmpl w:val="6BA04526"/>
    <w:lvl w:ilvl="0" w:tplc="DEB8FDDC">
      <w:start w:val="3"/>
      <w:numFmt w:val="bullet"/>
      <w:lvlText w:val=""/>
      <w:lvlJc w:val="left"/>
      <w:pPr>
        <w:ind w:left="1575" w:hanging="360"/>
      </w:pPr>
      <w:rPr>
        <w:rFonts w:ascii="Symbol" w:eastAsiaTheme="minorHAnsi" w:hAnsi="Symbol" w:cs="Aria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0" w15:restartNumberingAfterBreak="0">
    <w:nsid w:val="540A42BA"/>
    <w:multiLevelType w:val="hybridMultilevel"/>
    <w:tmpl w:val="5D58719A"/>
    <w:lvl w:ilvl="0" w:tplc="A3428F80">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705D4"/>
    <w:multiLevelType w:val="hybridMultilevel"/>
    <w:tmpl w:val="727A0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977AF"/>
    <w:multiLevelType w:val="hybridMultilevel"/>
    <w:tmpl w:val="65D06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BE0"/>
    <w:multiLevelType w:val="hybridMultilevel"/>
    <w:tmpl w:val="795C3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D0745"/>
    <w:multiLevelType w:val="hybridMultilevel"/>
    <w:tmpl w:val="04BC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02019"/>
    <w:multiLevelType w:val="hybridMultilevel"/>
    <w:tmpl w:val="2D5C9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00AA9"/>
    <w:multiLevelType w:val="hybridMultilevel"/>
    <w:tmpl w:val="6D1A1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B4F86"/>
    <w:multiLevelType w:val="hybridMultilevel"/>
    <w:tmpl w:val="8EAA7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C4A21"/>
    <w:multiLevelType w:val="hybridMultilevel"/>
    <w:tmpl w:val="41C0A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96F87"/>
    <w:multiLevelType w:val="hybridMultilevel"/>
    <w:tmpl w:val="BDB44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317D0"/>
    <w:multiLevelType w:val="hybridMultilevel"/>
    <w:tmpl w:val="9B548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E189A"/>
    <w:multiLevelType w:val="hybridMultilevel"/>
    <w:tmpl w:val="35C66862"/>
    <w:lvl w:ilvl="0" w:tplc="0DFCE384">
      <w:start w:val="2"/>
      <w:numFmt w:val="decimal"/>
      <w:lvlText w:val="%1."/>
      <w:lvlJc w:val="left"/>
      <w:pPr>
        <w:tabs>
          <w:tab w:val="num" w:pos="2280"/>
        </w:tabs>
        <w:ind w:left="2280" w:hanging="48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7FA3728F"/>
    <w:multiLevelType w:val="hybridMultilevel"/>
    <w:tmpl w:val="65DC0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11CA7"/>
    <w:multiLevelType w:val="hybridMultilevel"/>
    <w:tmpl w:val="2A961550"/>
    <w:lvl w:ilvl="0" w:tplc="35406AEA">
      <w:start w:val="5"/>
      <w:numFmt w:val="decimal"/>
      <w:lvlText w:val="%1."/>
      <w:lvlJc w:val="left"/>
      <w:pPr>
        <w:tabs>
          <w:tab w:val="num" w:pos="2280"/>
        </w:tabs>
        <w:ind w:left="2280" w:hanging="48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5"/>
  </w:num>
  <w:num w:numId="2">
    <w:abstractNumId w:val="33"/>
  </w:num>
  <w:num w:numId="3">
    <w:abstractNumId w:val="31"/>
  </w:num>
  <w:num w:numId="4">
    <w:abstractNumId w:val="13"/>
  </w:num>
  <w:num w:numId="5">
    <w:abstractNumId w:val="17"/>
  </w:num>
  <w:num w:numId="6">
    <w:abstractNumId w:val="5"/>
  </w:num>
  <w:num w:numId="7">
    <w:abstractNumId w:val="15"/>
  </w:num>
  <w:num w:numId="8">
    <w:abstractNumId w:val="20"/>
  </w:num>
  <w:num w:numId="9">
    <w:abstractNumId w:val="12"/>
  </w:num>
  <w:num w:numId="10">
    <w:abstractNumId w:val="30"/>
  </w:num>
  <w:num w:numId="11">
    <w:abstractNumId w:val="2"/>
  </w:num>
  <w:num w:numId="12">
    <w:abstractNumId w:val="21"/>
  </w:num>
  <w:num w:numId="13">
    <w:abstractNumId w:val="27"/>
  </w:num>
  <w:num w:numId="14">
    <w:abstractNumId w:val="4"/>
  </w:num>
  <w:num w:numId="15">
    <w:abstractNumId w:val="26"/>
  </w:num>
  <w:num w:numId="16">
    <w:abstractNumId w:val="16"/>
  </w:num>
  <w:num w:numId="17">
    <w:abstractNumId w:val="7"/>
  </w:num>
  <w:num w:numId="18">
    <w:abstractNumId w:val="1"/>
  </w:num>
  <w:num w:numId="19">
    <w:abstractNumId w:val="9"/>
  </w:num>
  <w:num w:numId="20">
    <w:abstractNumId w:val="29"/>
  </w:num>
  <w:num w:numId="21">
    <w:abstractNumId w:val="6"/>
  </w:num>
  <w:num w:numId="22">
    <w:abstractNumId w:val="23"/>
  </w:num>
  <w:num w:numId="23">
    <w:abstractNumId w:val="28"/>
  </w:num>
  <w:num w:numId="24">
    <w:abstractNumId w:val="32"/>
  </w:num>
  <w:num w:numId="25">
    <w:abstractNumId w:val="10"/>
  </w:num>
  <w:num w:numId="26">
    <w:abstractNumId w:val="19"/>
  </w:num>
  <w:num w:numId="27">
    <w:abstractNumId w:val="11"/>
  </w:num>
  <w:num w:numId="28">
    <w:abstractNumId w:val="14"/>
  </w:num>
  <w:num w:numId="29">
    <w:abstractNumId w:val="3"/>
  </w:num>
  <w:num w:numId="30">
    <w:abstractNumId w:val="8"/>
  </w:num>
  <w:num w:numId="31">
    <w:abstractNumId w:val="24"/>
  </w:num>
  <w:num w:numId="32">
    <w:abstractNumId w:val="0"/>
  </w:num>
  <w:num w:numId="33">
    <w:abstractNumId w:val="2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CC"/>
    <w:rsid w:val="00052C2D"/>
    <w:rsid w:val="00080E6C"/>
    <w:rsid w:val="00084547"/>
    <w:rsid w:val="00086E6B"/>
    <w:rsid w:val="000944E0"/>
    <w:rsid w:val="000A1265"/>
    <w:rsid w:val="000D0ADC"/>
    <w:rsid w:val="000D7A42"/>
    <w:rsid w:val="000E0043"/>
    <w:rsid w:val="0010047D"/>
    <w:rsid w:val="00137E09"/>
    <w:rsid w:val="0019149A"/>
    <w:rsid w:val="001B2FBC"/>
    <w:rsid w:val="001B75F0"/>
    <w:rsid w:val="001C1EE0"/>
    <w:rsid w:val="001D3780"/>
    <w:rsid w:val="001D666F"/>
    <w:rsid w:val="00232534"/>
    <w:rsid w:val="00271729"/>
    <w:rsid w:val="00284871"/>
    <w:rsid w:val="002B6FAF"/>
    <w:rsid w:val="002E7C8F"/>
    <w:rsid w:val="003438F6"/>
    <w:rsid w:val="00365048"/>
    <w:rsid w:val="00397D55"/>
    <w:rsid w:val="003A3B3F"/>
    <w:rsid w:val="003D5D2C"/>
    <w:rsid w:val="003E187D"/>
    <w:rsid w:val="003E4C14"/>
    <w:rsid w:val="003F16A7"/>
    <w:rsid w:val="00410DB4"/>
    <w:rsid w:val="0045788E"/>
    <w:rsid w:val="004D0CDB"/>
    <w:rsid w:val="00557EDC"/>
    <w:rsid w:val="00570C55"/>
    <w:rsid w:val="00626E99"/>
    <w:rsid w:val="00666199"/>
    <w:rsid w:val="006858DC"/>
    <w:rsid w:val="006D60CD"/>
    <w:rsid w:val="00713363"/>
    <w:rsid w:val="00730E4C"/>
    <w:rsid w:val="007458BD"/>
    <w:rsid w:val="00784CAA"/>
    <w:rsid w:val="007A3E44"/>
    <w:rsid w:val="007A6DB8"/>
    <w:rsid w:val="007A724C"/>
    <w:rsid w:val="007B2F7D"/>
    <w:rsid w:val="007C0FC6"/>
    <w:rsid w:val="007D5918"/>
    <w:rsid w:val="007E133A"/>
    <w:rsid w:val="007E708B"/>
    <w:rsid w:val="0082325F"/>
    <w:rsid w:val="00876B1B"/>
    <w:rsid w:val="008B0CC1"/>
    <w:rsid w:val="008B27DB"/>
    <w:rsid w:val="008B49E8"/>
    <w:rsid w:val="008C6EA6"/>
    <w:rsid w:val="008C7132"/>
    <w:rsid w:val="008F2D6B"/>
    <w:rsid w:val="00902172"/>
    <w:rsid w:val="009407F4"/>
    <w:rsid w:val="0096407E"/>
    <w:rsid w:val="00985352"/>
    <w:rsid w:val="009A7234"/>
    <w:rsid w:val="009B5AED"/>
    <w:rsid w:val="009E5513"/>
    <w:rsid w:val="00A008A0"/>
    <w:rsid w:val="00A06CFC"/>
    <w:rsid w:val="00A07E6D"/>
    <w:rsid w:val="00A25B2B"/>
    <w:rsid w:val="00A324AC"/>
    <w:rsid w:val="00A50C17"/>
    <w:rsid w:val="00A534E6"/>
    <w:rsid w:val="00A97A74"/>
    <w:rsid w:val="00AB651C"/>
    <w:rsid w:val="00AC2651"/>
    <w:rsid w:val="00AE6B6D"/>
    <w:rsid w:val="00AF6178"/>
    <w:rsid w:val="00B52DCC"/>
    <w:rsid w:val="00B54A64"/>
    <w:rsid w:val="00B81E34"/>
    <w:rsid w:val="00B951D5"/>
    <w:rsid w:val="00B97B66"/>
    <w:rsid w:val="00BF3129"/>
    <w:rsid w:val="00C27B8C"/>
    <w:rsid w:val="00CB3F43"/>
    <w:rsid w:val="00CC1A0A"/>
    <w:rsid w:val="00CC2110"/>
    <w:rsid w:val="00CC3A86"/>
    <w:rsid w:val="00CD58AB"/>
    <w:rsid w:val="00CD6157"/>
    <w:rsid w:val="00CE1BD7"/>
    <w:rsid w:val="00CF2093"/>
    <w:rsid w:val="00D05C8A"/>
    <w:rsid w:val="00D07A23"/>
    <w:rsid w:val="00DA2A0B"/>
    <w:rsid w:val="00E5061C"/>
    <w:rsid w:val="00E540E2"/>
    <w:rsid w:val="00E869CC"/>
    <w:rsid w:val="00EA3182"/>
    <w:rsid w:val="00EB67CC"/>
    <w:rsid w:val="00EE0529"/>
    <w:rsid w:val="00EE24DB"/>
    <w:rsid w:val="00F227C2"/>
    <w:rsid w:val="00F36C8E"/>
    <w:rsid w:val="00F527D4"/>
    <w:rsid w:val="00F730E8"/>
    <w:rsid w:val="00FE4F35"/>
    <w:rsid w:val="00FE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1889B"/>
  <w15:docId w15:val="{31D2D83F-4037-43F0-8A97-3932BE88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E2"/>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9CC"/>
    <w:rPr>
      <w:rFonts w:ascii="Tahoma" w:hAnsi="Tahoma" w:cs="Tahoma"/>
      <w:sz w:val="16"/>
      <w:szCs w:val="16"/>
    </w:rPr>
  </w:style>
  <w:style w:type="character" w:customStyle="1" w:styleId="BalloonTextChar">
    <w:name w:val="Balloon Text Char"/>
    <w:basedOn w:val="DefaultParagraphFont"/>
    <w:link w:val="BalloonText"/>
    <w:uiPriority w:val="99"/>
    <w:semiHidden/>
    <w:rsid w:val="00E869CC"/>
    <w:rPr>
      <w:rFonts w:ascii="Tahoma" w:hAnsi="Tahoma" w:cs="Tahoma"/>
      <w:sz w:val="16"/>
      <w:szCs w:val="16"/>
    </w:rPr>
  </w:style>
  <w:style w:type="paragraph" w:styleId="NoSpacing">
    <w:name w:val="No Spacing"/>
    <w:uiPriority w:val="1"/>
    <w:qFormat/>
    <w:rsid w:val="00D05C8A"/>
    <w:pPr>
      <w:spacing w:after="0" w:line="240" w:lineRule="auto"/>
    </w:pPr>
  </w:style>
  <w:style w:type="character" w:styleId="Hyperlink">
    <w:name w:val="Hyperlink"/>
    <w:basedOn w:val="DefaultParagraphFont"/>
    <w:uiPriority w:val="99"/>
    <w:semiHidden/>
    <w:unhideWhenUsed/>
    <w:rsid w:val="00E540E2"/>
    <w:rPr>
      <w:color w:val="0000FF"/>
      <w:u w:val="single"/>
    </w:rPr>
  </w:style>
  <w:style w:type="paragraph" w:styleId="ListParagraph">
    <w:name w:val="List Paragraph"/>
    <w:basedOn w:val="Normal"/>
    <w:uiPriority w:val="34"/>
    <w:qFormat/>
    <w:rsid w:val="00CC1A0A"/>
    <w:pPr>
      <w:ind w:left="720"/>
      <w:contextualSpacing/>
    </w:pPr>
    <w:rPr>
      <w:rFonts w:ascii="Calibri" w:hAnsi="Calibri" w:cs="Times New Roman"/>
      <w:sz w:val="22"/>
    </w:rPr>
  </w:style>
  <w:style w:type="paragraph" w:styleId="Header">
    <w:name w:val="header"/>
    <w:basedOn w:val="Normal"/>
    <w:link w:val="HeaderChar"/>
    <w:uiPriority w:val="99"/>
    <w:unhideWhenUsed/>
    <w:rsid w:val="00CC1A0A"/>
    <w:pPr>
      <w:tabs>
        <w:tab w:val="center" w:pos="4680"/>
        <w:tab w:val="right" w:pos="9360"/>
      </w:tabs>
    </w:pPr>
  </w:style>
  <w:style w:type="character" w:customStyle="1" w:styleId="HeaderChar">
    <w:name w:val="Header Char"/>
    <w:basedOn w:val="DefaultParagraphFont"/>
    <w:link w:val="Header"/>
    <w:uiPriority w:val="99"/>
    <w:rsid w:val="00CC1A0A"/>
    <w:rPr>
      <w:rFonts w:ascii="Garamond" w:hAnsi="Garamond"/>
      <w:sz w:val="24"/>
    </w:rPr>
  </w:style>
  <w:style w:type="paragraph" w:styleId="Footer">
    <w:name w:val="footer"/>
    <w:basedOn w:val="Normal"/>
    <w:link w:val="FooterChar"/>
    <w:uiPriority w:val="99"/>
    <w:unhideWhenUsed/>
    <w:rsid w:val="00CC1A0A"/>
    <w:pPr>
      <w:tabs>
        <w:tab w:val="center" w:pos="4680"/>
        <w:tab w:val="right" w:pos="9360"/>
      </w:tabs>
    </w:pPr>
  </w:style>
  <w:style w:type="character" w:customStyle="1" w:styleId="FooterChar">
    <w:name w:val="Footer Char"/>
    <w:basedOn w:val="DefaultParagraphFont"/>
    <w:link w:val="Footer"/>
    <w:uiPriority w:val="99"/>
    <w:rsid w:val="00CC1A0A"/>
    <w:rPr>
      <w:rFonts w:ascii="Garamond" w:hAnsi="Garamond"/>
      <w:sz w:val="24"/>
    </w:rPr>
  </w:style>
  <w:style w:type="table" w:styleId="TableGrid">
    <w:name w:val="Table Grid"/>
    <w:basedOn w:val="TableNormal"/>
    <w:uiPriority w:val="59"/>
    <w:rsid w:val="00B97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8953">
      <w:bodyDiv w:val="1"/>
      <w:marLeft w:val="0"/>
      <w:marRight w:val="0"/>
      <w:marTop w:val="0"/>
      <w:marBottom w:val="0"/>
      <w:divBdr>
        <w:top w:val="none" w:sz="0" w:space="0" w:color="auto"/>
        <w:left w:val="none" w:sz="0" w:space="0" w:color="auto"/>
        <w:bottom w:val="none" w:sz="0" w:space="0" w:color="auto"/>
        <w:right w:val="none" w:sz="0" w:space="0" w:color="auto"/>
      </w:divBdr>
    </w:div>
    <w:div w:id="1280256298">
      <w:bodyDiv w:val="1"/>
      <w:marLeft w:val="0"/>
      <w:marRight w:val="0"/>
      <w:marTop w:val="0"/>
      <w:marBottom w:val="0"/>
      <w:divBdr>
        <w:top w:val="none" w:sz="0" w:space="0" w:color="auto"/>
        <w:left w:val="none" w:sz="0" w:space="0" w:color="auto"/>
        <w:bottom w:val="none" w:sz="0" w:space="0" w:color="auto"/>
        <w:right w:val="none" w:sz="0" w:space="0" w:color="auto"/>
      </w:divBdr>
    </w:div>
    <w:div w:id="15133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87CFD-0B1A-4EC2-9106-E2C18B65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Mihajlov</dc:creator>
  <cp:lastModifiedBy>Erica Mihajlov</cp:lastModifiedBy>
  <cp:revision>6</cp:revision>
  <cp:lastPrinted>2019-03-12T15:13:00Z</cp:lastPrinted>
  <dcterms:created xsi:type="dcterms:W3CDTF">2019-02-22T16:19:00Z</dcterms:created>
  <dcterms:modified xsi:type="dcterms:W3CDTF">2019-03-12T15:14:00Z</dcterms:modified>
</cp:coreProperties>
</file>